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4A3D" w14:textId="18D4158D" w:rsidR="00015C1A" w:rsidRDefault="00C33D63" w:rsidP="009867A9">
      <w:pPr>
        <w:pStyle w:val="ConsumerContentHeader"/>
        <w:sectPr w:rsidR="00015C1A" w:rsidSect="004D3D6B">
          <w:headerReference w:type="default" r:id="rId8"/>
          <w:footerReference w:type="default" r:id="rId9"/>
          <w:pgSz w:w="12240" w:h="15840"/>
          <w:pgMar w:top="1166" w:right="547" w:bottom="1440" w:left="547" w:header="446" w:footer="302" w:gutter="0"/>
          <w:cols w:space="720"/>
          <w:docGrid w:linePitch="360"/>
        </w:sectPr>
      </w:pPr>
      <w:r>
        <w:t>New Jersey new commercial auto minimum limits</w:t>
      </w:r>
    </w:p>
    <w:p w14:paraId="2D9AC1BB" w14:textId="48386FBD" w:rsidR="00FD6D94" w:rsidRDefault="00C33D63" w:rsidP="00FD6D94">
      <w:pPr>
        <w:pStyle w:val="ConsumerContentBodytext"/>
        <w:rPr>
          <w:b/>
          <w:sz w:val="22"/>
          <w:szCs w:val="22"/>
        </w:rPr>
      </w:pPr>
      <w:r>
        <w:rPr>
          <w:b/>
          <w:sz w:val="22"/>
          <w:szCs w:val="22"/>
        </w:rPr>
        <w:t>Are minimum limits for commercial auto policies increasing in New Jersey</w:t>
      </w:r>
      <w:r w:rsidR="00FD6D94" w:rsidRPr="00FD6D94">
        <w:rPr>
          <w:b/>
          <w:sz w:val="22"/>
          <w:szCs w:val="22"/>
        </w:rPr>
        <w:t>?</w:t>
      </w:r>
    </w:p>
    <w:p w14:paraId="2506E5EC" w14:textId="1A184425" w:rsidR="00AB2481" w:rsidRPr="00AB2481" w:rsidRDefault="00C33D63" w:rsidP="00FD6D94">
      <w:pPr>
        <w:pStyle w:val="ConsumerContentBodytext"/>
        <w:rPr>
          <w:sz w:val="22"/>
          <w:szCs w:val="22"/>
        </w:rPr>
      </w:pPr>
      <w:r>
        <w:rPr>
          <w:sz w:val="22"/>
          <w:szCs w:val="22"/>
        </w:rPr>
        <w:t>Yes, During the 2022-23 legislative session,</w:t>
      </w:r>
      <w:r w:rsidRPr="00C33D63">
        <w:t xml:space="preserve"> </w:t>
      </w:r>
      <w:r w:rsidR="006F54B1">
        <w:t xml:space="preserve">the </w:t>
      </w:r>
      <w:r w:rsidRPr="00C33D63">
        <w:rPr>
          <w:sz w:val="22"/>
          <w:szCs w:val="22"/>
        </w:rPr>
        <w:t>New Jersey Legislature passed S-2841/A-4292 (P.L.2023, c.276). That bill, which was signed in</w:t>
      </w:r>
      <w:r w:rsidR="00D6782F">
        <w:rPr>
          <w:sz w:val="22"/>
          <w:szCs w:val="22"/>
        </w:rPr>
        <w:t>to</w:t>
      </w:r>
      <w:r w:rsidRPr="00C33D63">
        <w:rPr>
          <w:sz w:val="22"/>
          <w:szCs w:val="22"/>
        </w:rPr>
        <w:t xml:space="preserve"> law by New Jersey Governor Phil Murphy, increases the minimum insurance limits required for most commercial autos.</w:t>
      </w:r>
      <w:r>
        <w:rPr>
          <w:sz w:val="22"/>
          <w:szCs w:val="22"/>
        </w:rPr>
        <w:t xml:space="preserve"> </w:t>
      </w:r>
    </w:p>
    <w:p w14:paraId="14AF510D" w14:textId="77777777" w:rsidR="00AB2481" w:rsidRDefault="00AB2481" w:rsidP="00AB2481">
      <w:pPr>
        <w:pStyle w:val="ConsumerContentBodytext"/>
        <w:rPr>
          <w:sz w:val="22"/>
          <w:szCs w:val="22"/>
        </w:rPr>
      </w:pPr>
    </w:p>
    <w:p w14:paraId="24C509AF" w14:textId="38BA9F70" w:rsidR="00AB2481" w:rsidRPr="00AB2481" w:rsidRDefault="00C33D63" w:rsidP="00AB2481">
      <w:pPr>
        <w:pStyle w:val="ConsumerContentBodytext"/>
        <w:rPr>
          <w:b/>
          <w:sz w:val="22"/>
          <w:szCs w:val="22"/>
        </w:rPr>
      </w:pPr>
      <w:r>
        <w:rPr>
          <w:b/>
          <w:sz w:val="22"/>
          <w:szCs w:val="22"/>
        </w:rPr>
        <w:t>W</w:t>
      </w:r>
      <w:r w:rsidRPr="00C33D63">
        <w:rPr>
          <w:b/>
          <w:sz w:val="22"/>
          <w:szCs w:val="22"/>
        </w:rPr>
        <w:t xml:space="preserve">hat are the </w:t>
      </w:r>
      <w:r w:rsidR="00D6782F">
        <w:rPr>
          <w:b/>
          <w:sz w:val="22"/>
          <w:szCs w:val="22"/>
        </w:rPr>
        <w:t xml:space="preserve">insurance </w:t>
      </w:r>
      <w:r w:rsidRPr="00C33D63">
        <w:rPr>
          <w:b/>
          <w:sz w:val="22"/>
          <w:szCs w:val="22"/>
        </w:rPr>
        <w:t>limits being increased to?</w:t>
      </w:r>
    </w:p>
    <w:p w14:paraId="36114DA0" w14:textId="49E51799" w:rsidR="00AB2481" w:rsidRDefault="00C33D63" w:rsidP="00AB2481">
      <w:pPr>
        <w:pStyle w:val="ConsumerContentBodytext"/>
        <w:rPr>
          <w:sz w:val="22"/>
          <w:szCs w:val="22"/>
        </w:rPr>
      </w:pPr>
      <w:r>
        <w:rPr>
          <w:sz w:val="22"/>
          <w:szCs w:val="22"/>
        </w:rPr>
        <w:t>That depends on the size of the vehicle</w:t>
      </w:r>
      <w:r w:rsidR="00AB2481" w:rsidRPr="00AB2481">
        <w:rPr>
          <w:sz w:val="22"/>
          <w:szCs w:val="22"/>
        </w:rPr>
        <w:t>.</w:t>
      </w:r>
    </w:p>
    <w:p w14:paraId="15F6611E" w14:textId="17E2E46C" w:rsidR="00C33D63" w:rsidRDefault="00C33D63" w:rsidP="00C33D63">
      <w:pPr>
        <w:pStyle w:val="ConsumerContentBodytext"/>
        <w:numPr>
          <w:ilvl w:val="0"/>
          <w:numId w:val="16"/>
        </w:numPr>
        <w:rPr>
          <w:sz w:val="22"/>
          <w:szCs w:val="22"/>
        </w:rPr>
      </w:pPr>
      <w:r>
        <w:rPr>
          <w:sz w:val="22"/>
          <w:szCs w:val="22"/>
        </w:rPr>
        <w:t xml:space="preserve">Commercial vehicles with a gross vehicle weight of more than 26,000 lbs. will be required to carry at least </w:t>
      </w:r>
      <w:r w:rsidR="00FF7CF2">
        <w:rPr>
          <w:sz w:val="22"/>
          <w:szCs w:val="22"/>
        </w:rPr>
        <w:t>$</w:t>
      </w:r>
      <w:r>
        <w:rPr>
          <w:sz w:val="22"/>
          <w:szCs w:val="22"/>
        </w:rPr>
        <w:t xml:space="preserve">1.5 million injury in liability and property damage insurance. </w:t>
      </w:r>
    </w:p>
    <w:p w14:paraId="2B888298" w14:textId="0AF934E9" w:rsidR="00C33D63" w:rsidRDefault="00C33D63" w:rsidP="00C33D63">
      <w:pPr>
        <w:pStyle w:val="ConsumerContentBodytext"/>
        <w:numPr>
          <w:ilvl w:val="0"/>
          <w:numId w:val="16"/>
        </w:numPr>
        <w:rPr>
          <w:sz w:val="22"/>
          <w:szCs w:val="22"/>
        </w:rPr>
      </w:pPr>
      <w:r>
        <w:rPr>
          <w:sz w:val="22"/>
          <w:szCs w:val="22"/>
        </w:rPr>
        <w:t>Commercial vehicles with a gross vehicle weight rating of 10,001 lbs. or more, but less than 26,001 lbs</w:t>
      </w:r>
      <w:r w:rsidR="00FF7CF2">
        <w:rPr>
          <w:sz w:val="22"/>
          <w:szCs w:val="22"/>
        </w:rPr>
        <w:t>.</w:t>
      </w:r>
      <w:r>
        <w:rPr>
          <w:sz w:val="22"/>
          <w:szCs w:val="22"/>
        </w:rPr>
        <w:t xml:space="preserve"> will be required to carry at least $300,000 of coverage. </w:t>
      </w:r>
    </w:p>
    <w:p w14:paraId="50DBBECD" w14:textId="77777777" w:rsidR="00AB2481" w:rsidRPr="00AB2481" w:rsidRDefault="00AB2481" w:rsidP="00AB2481">
      <w:pPr>
        <w:pStyle w:val="ConsumerContentBodytext"/>
        <w:rPr>
          <w:sz w:val="22"/>
          <w:szCs w:val="22"/>
        </w:rPr>
      </w:pPr>
    </w:p>
    <w:p w14:paraId="1933A9D9" w14:textId="089AE64A" w:rsidR="00AB2481" w:rsidRPr="00AB2481" w:rsidRDefault="00C33D63" w:rsidP="00AB2481">
      <w:pPr>
        <w:pStyle w:val="ConsumerContentBodytext"/>
        <w:rPr>
          <w:b/>
          <w:sz w:val="22"/>
          <w:szCs w:val="22"/>
        </w:rPr>
      </w:pPr>
      <w:r>
        <w:rPr>
          <w:b/>
          <w:sz w:val="22"/>
          <w:szCs w:val="22"/>
        </w:rPr>
        <w:t>Does the coverage have to come from one policy, or can it come from a combination</w:t>
      </w:r>
      <w:r w:rsidR="00AB2481" w:rsidRPr="00AB2481">
        <w:rPr>
          <w:b/>
          <w:sz w:val="22"/>
          <w:szCs w:val="22"/>
        </w:rPr>
        <w:t>?</w:t>
      </w:r>
    </w:p>
    <w:p w14:paraId="6E07A878" w14:textId="25FB0457" w:rsidR="00AB2481" w:rsidRDefault="00C33D63" w:rsidP="00AB2481">
      <w:pPr>
        <w:pStyle w:val="ConsumerContentBodytext"/>
        <w:rPr>
          <w:sz w:val="22"/>
          <w:szCs w:val="22"/>
        </w:rPr>
      </w:pPr>
      <w:r w:rsidRPr="00C33D63">
        <w:rPr>
          <w:sz w:val="22"/>
          <w:szCs w:val="22"/>
        </w:rPr>
        <w:t>The law specifies that the new insurance requirements may be satisfied by a commercial automobile insurance policy, fleet insurance policy, commercial umbrella insurance policy, commercial excess insurance policy, similar insurance policy, or any combination thereof.</w:t>
      </w:r>
    </w:p>
    <w:p w14:paraId="36D6FE1A" w14:textId="77777777" w:rsidR="00AB2481" w:rsidRPr="00AB2481" w:rsidRDefault="00AB2481" w:rsidP="00AB2481">
      <w:pPr>
        <w:pStyle w:val="ConsumerContentBodytext"/>
        <w:rPr>
          <w:sz w:val="22"/>
          <w:szCs w:val="22"/>
        </w:rPr>
      </w:pPr>
    </w:p>
    <w:p w14:paraId="70DF04AF" w14:textId="6A2D8E80" w:rsidR="00AB2481" w:rsidRPr="00AB2481" w:rsidRDefault="00C40C4E" w:rsidP="00AB2481">
      <w:pPr>
        <w:pStyle w:val="ConsumerContentBodytext"/>
        <w:rPr>
          <w:b/>
          <w:sz w:val="22"/>
          <w:szCs w:val="22"/>
        </w:rPr>
      </w:pPr>
      <w:r>
        <w:rPr>
          <w:b/>
          <w:sz w:val="22"/>
          <w:szCs w:val="22"/>
        </w:rPr>
        <w:br w:type="column"/>
      </w:r>
      <w:r w:rsidR="00C33D63">
        <w:rPr>
          <w:b/>
          <w:sz w:val="22"/>
          <w:szCs w:val="22"/>
        </w:rPr>
        <w:t>When does the new law go into effect</w:t>
      </w:r>
      <w:r w:rsidR="00AB2481" w:rsidRPr="00AB2481">
        <w:rPr>
          <w:b/>
          <w:sz w:val="22"/>
          <w:szCs w:val="22"/>
        </w:rPr>
        <w:t>?</w:t>
      </w:r>
    </w:p>
    <w:p w14:paraId="36C3943A" w14:textId="47D5A6C7" w:rsidR="00AB2481" w:rsidRDefault="00C33D63" w:rsidP="00AB2481">
      <w:pPr>
        <w:pStyle w:val="ConsumerContentBodytext"/>
        <w:rPr>
          <w:sz w:val="22"/>
          <w:szCs w:val="22"/>
        </w:rPr>
      </w:pPr>
      <w:r w:rsidRPr="00C33D63">
        <w:rPr>
          <w:sz w:val="22"/>
          <w:szCs w:val="22"/>
        </w:rPr>
        <w:t>That law goes into effect July 1, 2024. All new commercial policies issued on or after that date must contain at least the new minimum limits. Any policy that renews on or after July 1, 2024, must also contain at least the new minimum limits.</w:t>
      </w:r>
    </w:p>
    <w:p w14:paraId="2EABEB5F" w14:textId="77777777" w:rsidR="00247346" w:rsidRDefault="00247346" w:rsidP="00AB2481">
      <w:pPr>
        <w:pStyle w:val="ConsumerContentBodytext"/>
        <w:rPr>
          <w:sz w:val="22"/>
          <w:szCs w:val="22"/>
        </w:rPr>
      </w:pPr>
    </w:p>
    <w:p w14:paraId="6BD20A3B" w14:textId="1A693EA4" w:rsidR="00247346" w:rsidRPr="004B2C74" w:rsidRDefault="00247346" w:rsidP="00247346">
      <w:pPr>
        <w:pStyle w:val="ConsumerContentBodytext"/>
        <w:rPr>
          <w:b/>
          <w:sz w:val="22"/>
          <w:szCs w:val="22"/>
          <w:highlight w:val="yellow"/>
        </w:rPr>
      </w:pPr>
      <w:r w:rsidRPr="004B2C74">
        <w:rPr>
          <w:b/>
          <w:sz w:val="22"/>
          <w:szCs w:val="22"/>
          <w:highlight w:val="yellow"/>
        </w:rPr>
        <w:t xml:space="preserve">Do insurance producers have a responsibility to inform their clients about the new commercial minimum limits? </w:t>
      </w:r>
    </w:p>
    <w:p w14:paraId="608BA835" w14:textId="537ABA92" w:rsidR="00247346" w:rsidRPr="00247346" w:rsidRDefault="00247346" w:rsidP="00247346">
      <w:pPr>
        <w:pStyle w:val="ConsumerContentBodytext"/>
        <w:rPr>
          <w:sz w:val="22"/>
          <w:szCs w:val="22"/>
        </w:rPr>
      </w:pPr>
      <w:r w:rsidRPr="004B2C74">
        <w:rPr>
          <w:sz w:val="22"/>
          <w:szCs w:val="22"/>
          <w:highlight w:val="yellow"/>
        </w:rPr>
        <w:t xml:space="preserve">Yes.  The </w:t>
      </w:r>
      <w:r w:rsidR="00717F7D" w:rsidRPr="004B2C74">
        <w:rPr>
          <w:sz w:val="22"/>
          <w:szCs w:val="22"/>
          <w:highlight w:val="yellow"/>
        </w:rPr>
        <w:t>New Jersey Department of Banking and Insurance</w:t>
      </w:r>
      <w:r w:rsidRPr="004B2C74">
        <w:rPr>
          <w:sz w:val="22"/>
          <w:szCs w:val="22"/>
          <w:highlight w:val="yellow"/>
        </w:rPr>
        <w:t xml:space="preserve"> has stated </w:t>
      </w:r>
      <w:r w:rsidR="00717F7D" w:rsidRPr="004B2C74">
        <w:rPr>
          <w:sz w:val="22"/>
          <w:szCs w:val="22"/>
          <w:highlight w:val="yellow"/>
        </w:rPr>
        <w:t>to</w:t>
      </w:r>
      <w:r w:rsidRPr="004B2C74">
        <w:rPr>
          <w:sz w:val="22"/>
          <w:szCs w:val="22"/>
          <w:highlight w:val="yellow"/>
        </w:rPr>
        <w:t xml:space="preserve"> ensure th</w:t>
      </w:r>
      <w:r w:rsidR="00717F7D" w:rsidRPr="004B2C74">
        <w:rPr>
          <w:sz w:val="22"/>
          <w:szCs w:val="22"/>
          <w:highlight w:val="yellow"/>
        </w:rPr>
        <w:t>at</w:t>
      </w:r>
      <w:r w:rsidRPr="004B2C74">
        <w:rPr>
          <w:sz w:val="22"/>
          <w:szCs w:val="22"/>
          <w:highlight w:val="yellow"/>
        </w:rPr>
        <w:t xml:space="preserve"> insureds are aware of the increase in minimum </w:t>
      </w:r>
      <w:r w:rsidR="00717F7D" w:rsidRPr="004B2C74">
        <w:rPr>
          <w:sz w:val="22"/>
          <w:szCs w:val="22"/>
          <w:highlight w:val="yellow"/>
        </w:rPr>
        <w:t xml:space="preserve">liability </w:t>
      </w:r>
      <w:r w:rsidRPr="004B2C74">
        <w:rPr>
          <w:sz w:val="22"/>
          <w:szCs w:val="22"/>
          <w:highlight w:val="yellow"/>
        </w:rPr>
        <w:t>coverage limits, insurers and producers must inform the insured of the new minimum coverage limits.</w:t>
      </w:r>
      <w:r w:rsidRPr="00247346">
        <w:rPr>
          <w:sz w:val="22"/>
          <w:szCs w:val="22"/>
        </w:rPr>
        <w:t xml:space="preserve"> </w:t>
      </w:r>
    </w:p>
    <w:p w14:paraId="68C0EF7D" w14:textId="77777777" w:rsidR="00247346" w:rsidRPr="00247346" w:rsidRDefault="00247346" w:rsidP="00247346">
      <w:pPr>
        <w:pStyle w:val="ConsumerContentBodytext"/>
        <w:rPr>
          <w:sz w:val="22"/>
          <w:szCs w:val="22"/>
        </w:rPr>
      </w:pPr>
    </w:p>
    <w:p w14:paraId="4CB08060" w14:textId="29E25041" w:rsidR="00247346" w:rsidRPr="006C5BB0" w:rsidRDefault="00247346" w:rsidP="00247346">
      <w:pPr>
        <w:pStyle w:val="ConsumerContentBodytext"/>
        <w:rPr>
          <w:b/>
          <w:sz w:val="22"/>
          <w:szCs w:val="22"/>
          <w:highlight w:val="yellow"/>
        </w:rPr>
      </w:pPr>
      <w:r w:rsidRPr="006C5BB0">
        <w:rPr>
          <w:b/>
          <w:sz w:val="22"/>
          <w:szCs w:val="22"/>
          <w:highlight w:val="yellow"/>
        </w:rPr>
        <w:t xml:space="preserve">Will carriers be required to offer coverage in the amount of at least the minimum limits? </w:t>
      </w:r>
    </w:p>
    <w:p w14:paraId="771AE83A" w14:textId="1F279BB4" w:rsidR="00247346" w:rsidRPr="00247346" w:rsidRDefault="00247346" w:rsidP="00247346">
      <w:pPr>
        <w:pStyle w:val="ConsumerContentBodytext"/>
        <w:rPr>
          <w:sz w:val="22"/>
          <w:szCs w:val="22"/>
        </w:rPr>
      </w:pPr>
      <w:r w:rsidRPr="006C5BB0">
        <w:rPr>
          <w:sz w:val="22"/>
          <w:szCs w:val="22"/>
          <w:highlight w:val="yellow"/>
        </w:rPr>
        <w:t xml:space="preserve">Yes. While the law states that the coverage limits can be met through a combination of policies, the </w:t>
      </w:r>
      <w:r w:rsidR="00717F7D" w:rsidRPr="006C5BB0">
        <w:rPr>
          <w:sz w:val="22"/>
          <w:szCs w:val="22"/>
          <w:highlight w:val="yellow"/>
        </w:rPr>
        <w:t>DOBI</w:t>
      </w:r>
      <w:r w:rsidRPr="006C5BB0">
        <w:rPr>
          <w:sz w:val="22"/>
          <w:szCs w:val="22"/>
          <w:highlight w:val="yellow"/>
        </w:rPr>
        <w:t xml:space="preserve"> released a bulletin instructing carriers that </w:t>
      </w:r>
      <w:proofErr w:type="gramStart"/>
      <w:r w:rsidRPr="006C5BB0">
        <w:rPr>
          <w:sz w:val="22"/>
          <w:szCs w:val="22"/>
          <w:highlight w:val="yellow"/>
        </w:rPr>
        <w:t>in order to</w:t>
      </w:r>
      <w:proofErr w:type="gramEnd"/>
      <w:r w:rsidRPr="006C5BB0">
        <w:rPr>
          <w:sz w:val="22"/>
          <w:szCs w:val="22"/>
          <w:highlight w:val="yellow"/>
        </w:rPr>
        <w:t xml:space="preserve"> comply with the la</w:t>
      </w:r>
      <w:r w:rsidR="00095889" w:rsidRPr="006C5BB0">
        <w:rPr>
          <w:sz w:val="22"/>
          <w:szCs w:val="22"/>
          <w:highlight w:val="yellow"/>
        </w:rPr>
        <w:t>w,</w:t>
      </w:r>
      <w:r w:rsidRPr="006C5BB0">
        <w:rPr>
          <w:sz w:val="22"/>
          <w:szCs w:val="22"/>
          <w:highlight w:val="yellow"/>
        </w:rPr>
        <w:t xml:space="preserve"> they must have filed </w:t>
      </w:r>
      <w:r w:rsidR="00503B66" w:rsidRPr="006C5BB0">
        <w:rPr>
          <w:sz w:val="22"/>
          <w:szCs w:val="22"/>
          <w:highlight w:val="yellow"/>
        </w:rPr>
        <w:t xml:space="preserve">their </w:t>
      </w:r>
      <w:r w:rsidRPr="006C5BB0">
        <w:rPr>
          <w:sz w:val="22"/>
          <w:szCs w:val="22"/>
          <w:highlight w:val="yellow"/>
        </w:rPr>
        <w:t xml:space="preserve">rates </w:t>
      </w:r>
      <w:r w:rsidR="00095889" w:rsidRPr="006C5BB0">
        <w:rPr>
          <w:sz w:val="22"/>
          <w:szCs w:val="22"/>
          <w:highlight w:val="yellow"/>
        </w:rPr>
        <w:t xml:space="preserve">with the DOBI </w:t>
      </w:r>
      <w:r w:rsidRPr="006C5BB0">
        <w:rPr>
          <w:sz w:val="22"/>
          <w:szCs w:val="22"/>
          <w:highlight w:val="yellow"/>
        </w:rPr>
        <w:t xml:space="preserve">for the new minimum coverage limits in order to comply with the </w:t>
      </w:r>
      <w:r w:rsidR="00095889" w:rsidRPr="006C5BB0">
        <w:rPr>
          <w:sz w:val="22"/>
          <w:szCs w:val="22"/>
          <w:highlight w:val="yellow"/>
        </w:rPr>
        <w:t>a</w:t>
      </w:r>
      <w:r w:rsidRPr="006C5BB0">
        <w:rPr>
          <w:sz w:val="22"/>
          <w:szCs w:val="22"/>
          <w:highlight w:val="yellow"/>
        </w:rPr>
        <w:t xml:space="preserve">ct. Insurers that offer both commercial motor vehicle and excess coverage limits to comply with the </w:t>
      </w:r>
      <w:r w:rsidR="00095889" w:rsidRPr="006C5BB0">
        <w:rPr>
          <w:sz w:val="22"/>
          <w:szCs w:val="22"/>
          <w:highlight w:val="yellow"/>
        </w:rPr>
        <w:t>a</w:t>
      </w:r>
      <w:r w:rsidRPr="006C5BB0">
        <w:rPr>
          <w:sz w:val="22"/>
          <w:szCs w:val="22"/>
          <w:highlight w:val="yellow"/>
        </w:rPr>
        <w:t>ct are not required to submit rate filings to implement the new coverage amounts.</w:t>
      </w:r>
      <w:r w:rsidRPr="00247346">
        <w:rPr>
          <w:sz w:val="22"/>
          <w:szCs w:val="22"/>
        </w:rPr>
        <w:t xml:space="preserve"> </w:t>
      </w:r>
    </w:p>
    <w:p w14:paraId="5E4BFBE5" w14:textId="77777777" w:rsidR="00247346" w:rsidRPr="00247346" w:rsidRDefault="00247346" w:rsidP="00247346">
      <w:pPr>
        <w:pStyle w:val="ConsumerContentBodytext"/>
        <w:rPr>
          <w:sz w:val="22"/>
          <w:szCs w:val="22"/>
        </w:rPr>
      </w:pPr>
    </w:p>
    <w:p w14:paraId="240B5FBA" w14:textId="70C0A9E0" w:rsidR="00247346" w:rsidRPr="006C5BB0" w:rsidRDefault="00C40C4E" w:rsidP="00247346">
      <w:pPr>
        <w:pStyle w:val="ConsumerContentBodytext"/>
        <w:rPr>
          <w:b/>
          <w:sz w:val="22"/>
          <w:szCs w:val="22"/>
          <w:highlight w:val="yellow"/>
        </w:rPr>
      </w:pPr>
      <w:r>
        <w:rPr>
          <w:b/>
          <w:sz w:val="22"/>
          <w:szCs w:val="22"/>
        </w:rPr>
        <w:br w:type="column"/>
      </w:r>
      <w:r w:rsidR="00247346" w:rsidRPr="006C5BB0">
        <w:rPr>
          <w:b/>
          <w:sz w:val="22"/>
          <w:szCs w:val="22"/>
          <w:highlight w:val="yellow"/>
        </w:rPr>
        <w:t xml:space="preserve">Can a carrier increase the limits of a policy midterm to the new minimum limits? </w:t>
      </w:r>
    </w:p>
    <w:p w14:paraId="5FF1EC64" w14:textId="5ADAD324" w:rsidR="00247346" w:rsidRDefault="00247346" w:rsidP="00247346">
      <w:pPr>
        <w:pStyle w:val="ConsumerContentBodytext"/>
        <w:rPr>
          <w:sz w:val="22"/>
          <w:szCs w:val="22"/>
        </w:rPr>
      </w:pPr>
      <w:r w:rsidRPr="006C5BB0">
        <w:rPr>
          <w:sz w:val="22"/>
          <w:szCs w:val="22"/>
          <w:highlight w:val="yellow"/>
        </w:rPr>
        <w:t xml:space="preserve">No. Effecting or attempting to </w:t>
      </w:r>
      <w:proofErr w:type="gramStart"/>
      <w:r w:rsidRPr="006C5BB0">
        <w:rPr>
          <w:sz w:val="22"/>
          <w:szCs w:val="22"/>
          <w:highlight w:val="yellow"/>
        </w:rPr>
        <w:t>effect</w:t>
      </w:r>
      <w:proofErr w:type="gramEnd"/>
      <w:r w:rsidRPr="006C5BB0">
        <w:rPr>
          <w:sz w:val="22"/>
          <w:szCs w:val="22"/>
          <w:highlight w:val="yellow"/>
        </w:rPr>
        <w:t xml:space="preserve"> a midterm premium increase and/or a reduction in the amount or type of coverage is prohibited unless prior written approval has been obtained from the commissioner of DOBI.</w:t>
      </w:r>
    </w:p>
    <w:p w14:paraId="7B9BF804" w14:textId="77777777" w:rsidR="00C40C4E" w:rsidRDefault="00C40C4E" w:rsidP="00247346">
      <w:pPr>
        <w:pStyle w:val="ConsumerContentBodytext"/>
        <w:rPr>
          <w:sz w:val="22"/>
          <w:szCs w:val="22"/>
        </w:rPr>
      </w:pPr>
    </w:p>
    <w:p w14:paraId="2F182EAE" w14:textId="5BF5BA70" w:rsidR="00C40C4E" w:rsidRPr="006C5BB0" w:rsidRDefault="00C40C4E" w:rsidP="00247346">
      <w:pPr>
        <w:pStyle w:val="ConsumerContentBodytext"/>
        <w:rPr>
          <w:b/>
          <w:sz w:val="22"/>
          <w:szCs w:val="22"/>
          <w:highlight w:val="yellow"/>
        </w:rPr>
      </w:pPr>
      <w:r w:rsidRPr="006C5BB0">
        <w:rPr>
          <w:b/>
          <w:sz w:val="22"/>
          <w:szCs w:val="22"/>
          <w:highlight w:val="yellow"/>
        </w:rPr>
        <w:t>Do the new limits apply to interstate risks?</w:t>
      </w:r>
    </w:p>
    <w:p w14:paraId="43E93A66" w14:textId="344068A3" w:rsidR="00C40C4E" w:rsidRPr="00C40C4E" w:rsidRDefault="00C40C4E" w:rsidP="00247346">
      <w:pPr>
        <w:pStyle w:val="ConsumerContentBodytext"/>
        <w:rPr>
          <w:sz w:val="22"/>
          <w:szCs w:val="22"/>
        </w:rPr>
      </w:pPr>
      <w:r w:rsidRPr="006C5BB0">
        <w:rPr>
          <w:sz w:val="22"/>
          <w:szCs w:val="22"/>
          <w:highlight w:val="yellow"/>
        </w:rPr>
        <w:t>No. The law only applies to commercial motor vehicles registered or principally garaged (i.e., “based-plated” or “at home”) in New Jersey engaged in intrastate commerce.</w:t>
      </w:r>
    </w:p>
    <w:p w14:paraId="54C52E21" w14:textId="77777777" w:rsidR="009E2C6D" w:rsidRDefault="009E2C6D" w:rsidP="00FF7CF2">
      <w:pPr>
        <w:pStyle w:val="ConsumerContentBodytext"/>
        <w:rPr>
          <w:sz w:val="22"/>
          <w:szCs w:val="22"/>
        </w:rPr>
      </w:pPr>
    </w:p>
    <w:p w14:paraId="2B87954F" w14:textId="2061C115" w:rsidR="00C45C1D" w:rsidRDefault="00C45C1D" w:rsidP="00C45C1D">
      <w:pPr>
        <w:pStyle w:val="ConsumerContentBodytext"/>
        <w:jc w:val="right"/>
        <w:rPr>
          <w:sz w:val="16"/>
          <w:szCs w:val="16"/>
        </w:rPr>
      </w:pPr>
      <w:r w:rsidRPr="00C45C1D">
        <w:rPr>
          <w:sz w:val="16"/>
          <w:szCs w:val="16"/>
        </w:rPr>
        <w:t>QS</w:t>
      </w:r>
      <w:r w:rsidR="00C33D63">
        <w:rPr>
          <w:sz w:val="16"/>
          <w:szCs w:val="16"/>
        </w:rPr>
        <w:t>29</w:t>
      </w:r>
      <w:r w:rsidR="007F1753">
        <w:rPr>
          <w:sz w:val="16"/>
          <w:szCs w:val="16"/>
        </w:rPr>
        <w:t>259</w:t>
      </w:r>
    </w:p>
    <w:p w14:paraId="0B77D211" w14:textId="50071A3D" w:rsidR="00FF22F5" w:rsidRPr="00C45C1D" w:rsidRDefault="00247346" w:rsidP="00C45C1D">
      <w:pPr>
        <w:pStyle w:val="ConsumerContentBodytext"/>
        <w:jc w:val="right"/>
        <w:rPr>
          <w:sz w:val="16"/>
          <w:szCs w:val="16"/>
        </w:rPr>
      </w:pPr>
      <w:r>
        <w:rPr>
          <w:sz w:val="16"/>
          <w:szCs w:val="16"/>
        </w:rPr>
        <w:t>5</w:t>
      </w:r>
      <w:r w:rsidR="001554D1">
        <w:rPr>
          <w:sz w:val="16"/>
          <w:szCs w:val="16"/>
        </w:rPr>
        <w:t>/24</w:t>
      </w:r>
    </w:p>
    <w:sectPr w:rsidR="00FF22F5" w:rsidRPr="00C45C1D" w:rsidSect="00FC2DFF">
      <w:type w:val="continuous"/>
      <w:pgSz w:w="12240" w:h="15840"/>
      <w:pgMar w:top="1170" w:right="450" w:bottom="1710" w:left="540" w:header="450" w:footer="300" w:gutter="0"/>
      <w:cols w:num="3"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392A" w14:textId="77777777" w:rsidR="00D31D24" w:rsidRDefault="00D31D24" w:rsidP="00015C1A">
      <w:pPr>
        <w:spacing w:after="0" w:line="240" w:lineRule="auto"/>
      </w:pPr>
      <w:r>
        <w:separator/>
      </w:r>
    </w:p>
  </w:endnote>
  <w:endnote w:type="continuationSeparator" w:id="0">
    <w:p w14:paraId="5B0483B7" w14:textId="77777777" w:rsidR="00D31D24" w:rsidRDefault="00D31D24" w:rsidP="00015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obe Garamond Pro">
    <w:altName w:val="Georgia"/>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AGaramondPro-Regular">
    <w:altName w:val="Baskerville Old Face"/>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ICG-Book">
    <w:altName w:val="Arial"/>
    <w:panose1 w:val="00000000000000000000"/>
    <w:charset w:val="00"/>
    <w:family w:val="swiss"/>
    <w:notTrueType/>
    <w:pitch w:val="variable"/>
    <w:sig w:usb0="00000083" w:usb1="00000000" w:usb2="00000000" w:usb3="00000000" w:csb0="00000009" w:csb1="00000000"/>
  </w:font>
  <w:font w:name="FuturaICG-Light">
    <w:altName w:val="Arial"/>
    <w:panose1 w:val="00000000000000000000"/>
    <w:charset w:val="00"/>
    <w:family w:val="swiss"/>
    <w:notTrueType/>
    <w:pitch w:val="variable"/>
    <w:sig w:usb0="00000083" w:usb1="00000000" w:usb2="00000000" w:usb3="00000000" w:csb0="00000009" w:csb1="00000000"/>
  </w:font>
  <w:font w:name="Futura-CondensedLigh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78E5" w14:textId="77777777" w:rsidR="009E2C6D" w:rsidRDefault="009E2C6D" w:rsidP="009E2C6D">
    <w:pPr>
      <w:pStyle w:val="Footer"/>
      <w:jc w:val="center"/>
    </w:pPr>
    <w:r>
      <w:rPr>
        <w:noProof/>
      </w:rPr>
      <w:drawing>
        <wp:inline distT="0" distB="0" distL="0" distR="0" wp14:anchorId="638C8A78" wp14:editId="21A8FA6F">
          <wp:extent cx="3095625" cy="590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95625" cy="590550"/>
                  </a:xfrm>
                  <a:prstGeom prst="rect">
                    <a:avLst/>
                  </a:prstGeom>
                </pic:spPr>
              </pic:pic>
            </a:graphicData>
          </a:graphic>
        </wp:inline>
      </w:drawing>
    </w:r>
  </w:p>
  <w:p w14:paraId="001AABE2" w14:textId="77777777" w:rsidR="00015C1A" w:rsidRDefault="00015C1A" w:rsidP="00FD625B">
    <w:pPr>
      <w:pStyle w:val="Footer"/>
      <w:tabs>
        <w:tab w:val="left" w:pos="9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6400" w14:textId="77777777" w:rsidR="00D31D24" w:rsidRDefault="00D31D24" w:rsidP="00015C1A">
      <w:pPr>
        <w:spacing w:after="0" w:line="240" w:lineRule="auto"/>
      </w:pPr>
      <w:r>
        <w:separator/>
      </w:r>
    </w:p>
  </w:footnote>
  <w:footnote w:type="continuationSeparator" w:id="0">
    <w:p w14:paraId="5EBDF6F3" w14:textId="77777777" w:rsidR="00D31D24" w:rsidRDefault="00D31D24" w:rsidP="00015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DB20" w14:textId="77777777" w:rsidR="00015C1A" w:rsidRDefault="00015C1A" w:rsidP="00015C1A">
    <w:pPr>
      <w:autoSpaceDE w:val="0"/>
      <w:autoSpaceDN w:val="0"/>
      <w:adjustRightInd w:val="0"/>
      <w:spacing w:after="0" w:line="240" w:lineRule="auto"/>
      <w:jc w:val="center"/>
      <w:rPr>
        <w:rFonts w:ascii="Futura-CondensedLight" w:hAnsi="Futura-CondensedLight" w:cs="FuturaICG-Book"/>
        <w:sz w:val="24"/>
        <w:szCs w:val="24"/>
      </w:rPr>
    </w:pPr>
    <w:r w:rsidRPr="00015C1A">
      <w:rPr>
        <w:rFonts w:ascii="Futura-CondensedLight" w:hAnsi="Futura-CondensedLight" w:cs="FuturaICG-Book"/>
        <w:sz w:val="24"/>
        <w:szCs w:val="24"/>
      </w:rPr>
      <w:t xml:space="preserve">Content provided by PIA Management </w:t>
    </w:r>
    <w:r>
      <w:rPr>
        <w:rFonts w:ascii="Futura-CondensedLight" w:hAnsi="Futura-CondensedLight" w:cs="FuturaICG-Book"/>
        <w:sz w:val="24"/>
        <w:szCs w:val="24"/>
      </w:rPr>
      <w:t xml:space="preserve">Services </w:t>
    </w:r>
    <w:r w:rsidRPr="00015C1A">
      <w:rPr>
        <w:rFonts w:ascii="Futura-CondensedLight" w:hAnsi="Futura-CondensedLight" w:cs="FuturaICG-Book"/>
        <w:sz w:val="24"/>
        <w:szCs w:val="24"/>
      </w:rPr>
      <w:t>Inc.</w:t>
    </w:r>
  </w:p>
  <w:p w14:paraId="7FD22F5E" w14:textId="77777777" w:rsidR="00077D32" w:rsidRPr="00015C1A" w:rsidRDefault="00077D32" w:rsidP="00015C1A">
    <w:pPr>
      <w:autoSpaceDE w:val="0"/>
      <w:autoSpaceDN w:val="0"/>
      <w:adjustRightInd w:val="0"/>
      <w:spacing w:after="0" w:line="240" w:lineRule="auto"/>
      <w:jc w:val="center"/>
      <w:rPr>
        <w:rFonts w:ascii="Futura-CondensedLight" w:hAnsi="Futura-CondensedLight" w:cs="FuturaICG-Book"/>
        <w:sz w:val="24"/>
        <w:szCs w:val="24"/>
      </w:rPr>
    </w:pPr>
    <w:r w:rsidRPr="00077D32">
      <w:rPr>
        <w:rFonts w:ascii="Futura-CondensedLight" w:hAnsi="Futura-CondensedLight"/>
      </w:rPr>
      <w:t>For use by PIA members, available as an exclusive PIA member benefit.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FD8"/>
    <w:multiLevelType w:val="hybridMultilevel"/>
    <w:tmpl w:val="A072B298"/>
    <w:lvl w:ilvl="0" w:tplc="36B41294">
      <w:numFmt w:val="bullet"/>
      <w:lvlText w:val="•"/>
      <w:lvlJc w:val="left"/>
      <w:pPr>
        <w:ind w:left="720" w:hanging="360"/>
      </w:pPr>
      <w:rPr>
        <w:rFonts w:ascii="Adobe Garamond Pro" w:eastAsiaTheme="minorHAnsi" w:hAnsi="Adobe Garamond Pro" w:cs="AGaramon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1711F"/>
    <w:multiLevelType w:val="hybridMultilevel"/>
    <w:tmpl w:val="04D82CD8"/>
    <w:lvl w:ilvl="0" w:tplc="2B944C14">
      <w:numFmt w:val="bullet"/>
      <w:lvlText w:val="•"/>
      <w:lvlJc w:val="left"/>
      <w:pPr>
        <w:ind w:left="720" w:hanging="360"/>
      </w:pPr>
      <w:rPr>
        <w:rFonts w:ascii="Adobe Garamond Pro" w:eastAsiaTheme="minorHAnsi" w:hAnsi="Adobe Garamond Pro" w:cs="AGaramon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8510E"/>
    <w:multiLevelType w:val="hybridMultilevel"/>
    <w:tmpl w:val="98B60DFC"/>
    <w:lvl w:ilvl="0" w:tplc="36B41294">
      <w:numFmt w:val="bullet"/>
      <w:lvlText w:val="•"/>
      <w:lvlJc w:val="left"/>
      <w:pPr>
        <w:ind w:left="720" w:hanging="360"/>
      </w:pPr>
      <w:rPr>
        <w:rFonts w:ascii="Adobe Garamond Pro" w:eastAsiaTheme="minorHAnsi" w:hAnsi="Adobe Garamond Pro" w:cs="AGaramon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F5FDA"/>
    <w:multiLevelType w:val="hybridMultilevel"/>
    <w:tmpl w:val="DF402776"/>
    <w:lvl w:ilvl="0" w:tplc="36B41294">
      <w:numFmt w:val="bullet"/>
      <w:lvlText w:val="•"/>
      <w:lvlJc w:val="left"/>
      <w:pPr>
        <w:ind w:left="720" w:hanging="360"/>
      </w:pPr>
      <w:rPr>
        <w:rFonts w:ascii="Adobe Garamond Pro" w:eastAsiaTheme="minorHAnsi" w:hAnsi="Adobe Garamond Pro" w:cs="AGaramon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F039A"/>
    <w:multiLevelType w:val="hybridMultilevel"/>
    <w:tmpl w:val="9C8290C2"/>
    <w:lvl w:ilvl="0" w:tplc="2B944C14">
      <w:numFmt w:val="bullet"/>
      <w:lvlText w:val="•"/>
      <w:lvlJc w:val="left"/>
      <w:pPr>
        <w:ind w:left="720" w:hanging="360"/>
      </w:pPr>
      <w:rPr>
        <w:rFonts w:ascii="Adobe Garamond Pro" w:eastAsiaTheme="minorHAnsi" w:hAnsi="Adobe Garamond Pro" w:cs="AGaramon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C2A34"/>
    <w:multiLevelType w:val="hybridMultilevel"/>
    <w:tmpl w:val="9886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D115C"/>
    <w:multiLevelType w:val="hybridMultilevel"/>
    <w:tmpl w:val="486A9848"/>
    <w:lvl w:ilvl="0" w:tplc="36B41294">
      <w:numFmt w:val="bullet"/>
      <w:lvlText w:val="•"/>
      <w:lvlJc w:val="left"/>
      <w:pPr>
        <w:ind w:left="1080" w:hanging="720"/>
      </w:pPr>
      <w:rPr>
        <w:rFonts w:ascii="Adobe Garamond Pro" w:eastAsiaTheme="minorHAnsi" w:hAnsi="Adobe Garamond Pro" w:cs="AGaramon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1614C"/>
    <w:multiLevelType w:val="hybridMultilevel"/>
    <w:tmpl w:val="E81ACBDA"/>
    <w:lvl w:ilvl="0" w:tplc="8562A8D6">
      <w:numFmt w:val="bullet"/>
      <w:lvlText w:val="•"/>
      <w:lvlJc w:val="left"/>
      <w:pPr>
        <w:ind w:left="720" w:hanging="360"/>
      </w:pPr>
      <w:rPr>
        <w:rFonts w:ascii="Adobe Garamond Pro" w:eastAsiaTheme="minorHAnsi" w:hAnsi="Adobe Garamond Pro" w:cs="AGaramon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37A73"/>
    <w:multiLevelType w:val="hybridMultilevel"/>
    <w:tmpl w:val="9C8E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281"/>
    <w:multiLevelType w:val="hybridMultilevel"/>
    <w:tmpl w:val="7860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B1E57"/>
    <w:multiLevelType w:val="hybridMultilevel"/>
    <w:tmpl w:val="6A5A9F8C"/>
    <w:lvl w:ilvl="0" w:tplc="36B41294">
      <w:numFmt w:val="bullet"/>
      <w:lvlText w:val="•"/>
      <w:lvlJc w:val="left"/>
      <w:pPr>
        <w:ind w:left="720" w:hanging="360"/>
      </w:pPr>
      <w:rPr>
        <w:rFonts w:ascii="Adobe Garamond Pro" w:eastAsiaTheme="minorHAnsi" w:hAnsi="Adobe Garamond Pro" w:cs="AGaramon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A0593"/>
    <w:multiLevelType w:val="hybridMultilevel"/>
    <w:tmpl w:val="2EFA76A4"/>
    <w:lvl w:ilvl="0" w:tplc="8562A8D6">
      <w:numFmt w:val="bullet"/>
      <w:lvlText w:val="•"/>
      <w:lvlJc w:val="left"/>
      <w:pPr>
        <w:ind w:left="720" w:hanging="360"/>
      </w:pPr>
      <w:rPr>
        <w:rFonts w:ascii="Adobe Garamond Pro" w:eastAsiaTheme="minorHAnsi" w:hAnsi="Adobe Garamond Pro" w:cs="AGaramon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66517"/>
    <w:multiLevelType w:val="hybridMultilevel"/>
    <w:tmpl w:val="BDCA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C1F99"/>
    <w:multiLevelType w:val="hybridMultilevel"/>
    <w:tmpl w:val="3716D290"/>
    <w:lvl w:ilvl="0" w:tplc="36B41294">
      <w:numFmt w:val="bullet"/>
      <w:lvlText w:val="•"/>
      <w:lvlJc w:val="left"/>
      <w:pPr>
        <w:ind w:left="1080" w:hanging="720"/>
      </w:pPr>
      <w:rPr>
        <w:rFonts w:ascii="Adobe Garamond Pro" w:eastAsiaTheme="minorHAnsi" w:hAnsi="Adobe Garamond Pro" w:cs="AGaramon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C6174"/>
    <w:multiLevelType w:val="hybridMultilevel"/>
    <w:tmpl w:val="BE08E6D4"/>
    <w:lvl w:ilvl="0" w:tplc="36B41294">
      <w:numFmt w:val="bullet"/>
      <w:lvlText w:val="•"/>
      <w:lvlJc w:val="left"/>
      <w:pPr>
        <w:ind w:left="360" w:hanging="360"/>
      </w:pPr>
      <w:rPr>
        <w:rFonts w:ascii="Adobe Garamond Pro" w:eastAsiaTheme="minorHAnsi" w:hAnsi="Adobe Garamond Pro" w:cs="AGaramondPro-Regula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D938D6"/>
    <w:multiLevelType w:val="hybridMultilevel"/>
    <w:tmpl w:val="7804B7EA"/>
    <w:lvl w:ilvl="0" w:tplc="36B41294">
      <w:numFmt w:val="bullet"/>
      <w:lvlText w:val="•"/>
      <w:lvlJc w:val="left"/>
      <w:pPr>
        <w:ind w:left="1080" w:hanging="720"/>
      </w:pPr>
      <w:rPr>
        <w:rFonts w:ascii="Adobe Garamond Pro" w:eastAsiaTheme="minorHAnsi" w:hAnsi="Adobe Garamond Pro" w:cs="AGaramon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728681">
    <w:abstractNumId w:val="9"/>
  </w:num>
  <w:num w:numId="2" w16cid:durableId="1650473410">
    <w:abstractNumId w:val="12"/>
  </w:num>
  <w:num w:numId="3" w16cid:durableId="1918973857">
    <w:abstractNumId w:val="5"/>
  </w:num>
  <w:num w:numId="4" w16cid:durableId="1598638869">
    <w:abstractNumId w:val="13"/>
  </w:num>
  <w:num w:numId="5" w16cid:durableId="437408949">
    <w:abstractNumId w:val="6"/>
  </w:num>
  <w:num w:numId="6" w16cid:durableId="397366284">
    <w:abstractNumId w:val="15"/>
  </w:num>
  <w:num w:numId="7" w16cid:durableId="1864129644">
    <w:abstractNumId w:val="10"/>
  </w:num>
  <w:num w:numId="8" w16cid:durableId="1575434553">
    <w:abstractNumId w:val="2"/>
  </w:num>
  <w:num w:numId="9" w16cid:durableId="2024554819">
    <w:abstractNumId w:val="14"/>
  </w:num>
  <w:num w:numId="10" w16cid:durableId="75905092">
    <w:abstractNumId w:val="0"/>
  </w:num>
  <w:num w:numId="11" w16cid:durableId="407732073">
    <w:abstractNumId w:val="1"/>
  </w:num>
  <w:num w:numId="12" w16cid:durableId="1707295214">
    <w:abstractNumId w:val="4"/>
  </w:num>
  <w:num w:numId="13" w16cid:durableId="1185285542">
    <w:abstractNumId w:val="3"/>
  </w:num>
  <w:num w:numId="14" w16cid:durableId="2038118176">
    <w:abstractNumId w:val="11"/>
  </w:num>
  <w:num w:numId="15" w16cid:durableId="261567845">
    <w:abstractNumId w:val="7"/>
  </w:num>
  <w:num w:numId="16" w16cid:durableId="7998777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6B"/>
    <w:rsid w:val="00015C1A"/>
    <w:rsid w:val="00077D32"/>
    <w:rsid w:val="00095889"/>
    <w:rsid w:val="001554D1"/>
    <w:rsid w:val="002160C4"/>
    <w:rsid w:val="00217012"/>
    <w:rsid w:val="00247346"/>
    <w:rsid w:val="002A0997"/>
    <w:rsid w:val="002F309A"/>
    <w:rsid w:val="00316615"/>
    <w:rsid w:val="00357A19"/>
    <w:rsid w:val="003B3368"/>
    <w:rsid w:val="003F095F"/>
    <w:rsid w:val="004B2C74"/>
    <w:rsid w:val="004D3D6B"/>
    <w:rsid w:val="00503B66"/>
    <w:rsid w:val="0052797F"/>
    <w:rsid w:val="00622093"/>
    <w:rsid w:val="006C1DB9"/>
    <w:rsid w:val="006C5471"/>
    <w:rsid w:val="006C5BB0"/>
    <w:rsid w:val="006F54B1"/>
    <w:rsid w:val="00717F7D"/>
    <w:rsid w:val="007E7DBD"/>
    <w:rsid w:val="007F1753"/>
    <w:rsid w:val="008F1BE8"/>
    <w:rsid w:val="009867A9"/>
    <w:rsid w:val="009E2C6D"/>
    <w:rsid w:val="00AB2481"/>
    <w:rsid w:val="00B63952"/>
    <w:rsid w:val="00C33D63"/>
    <w:rsid w:val="00C40C4E"/>
    <w:rsid w:val="00C45C1D"/>
    <w:rsid w:val="00C77062"/>
    <w:rsid w:val="00D25DBC"/>
    <w:rsid w:val="00D31D24"/>
    <w:rsid w:val="00D6782F"/>
    <w:rsid w:val="00DF17C7"/>
    <w:rsid w:val="00E04019"/>
    <w:rsid w:val="00E10D9F"/>
    <w:rsid w:val="00F0372C"/>
    <w:rsid w:val="00FB432B"/>
    <w:rsid w:val="00FC2DFF"/>
    <w:rsid w:val="00FD625B"/>
    <w:rsid w:val="00FD6D94"/>
    <w:rsid w:val="00FF22F5"/>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D51A8"/>
  <w15:docId w15:val="{4D578EC7-E017-4E57-9479-7F85BFA7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C1A"/>
  </w:style>
  <w:style w:type="paragraph" w:styleId="Footer">
    <w:name w:val="footer"/>
    <w:basedOn w:val="Normal"/>
    <w:link w:val="FooterChar"/>
    <w:uiPriority w:val="99"/>
    <w:unhideWhenUsed/>
    <w:rsid w:val="00015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C1A"/>
  </w:style>
  <w:style w:type="paragraph" w:styleId="BalloonText">
    <w:name w:val="Balloon Text"/>
    <w:basedOn w:val="Normal"/>
    <w:link w:val="BalloonTextChar"/>
    <w:uiPriority w:val="99"/>
    <w:semiHidden/>
    <w:unhideWhenUsed/>
    <w:rsid w:val="00015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C1A"/>
    <w:rPr>
      <w:rFonts w:ascii="Tahoma" w:hAnsi="Tahoma" w:cs="Tahoma"/>
      <w:sz w:val="16"/>
      <w:szCs w:val="16"/>
    </w:rPr>
  </w:style>
  <w:style w:type="paragraph" w:customStyle="1" w:styleId="ConsumerContentHeader">
    <w:name w:val="Consumer Content Header"/>
    <w:basedOn w:val="Normal"/>
    <w:link w:val="ConsumerContentHeaderChar"/>
    <w:qFormat/>
    <w:rsid w:val="009867A9"/>
    <w:pPr>
      <w:autoSpaceDE w:val="0"/>
      <w:autoSpaceDN w:val="0"/>
      <w:adjustRightInd w:val="0"/>
      <w:spacing w:after="240" w:line="240" w:lineRule="auto"/>
    </w:pPr>
    <w:rPr>
      <w:rFonts w:ascii="FuturaICG-Book" w:hAnsi="FuturaICG-Book" w:cs="FuturaICG-Book"/>
      <w:sz w:val="44"/>
      <w:szCs w:val="44"/>
    </w:rPr>
  </w:style>
  <w:style w:type="paragraph" w:customStyle="1" w:styleId="ConsumerContentBoldtext">
    <w:name w:val="Consumer Content Bold text"/>
    <w:basedOn w:val="Normal"/>
    <w:link w:val="ConsumerContentBoldtextChar"/>
    <w:qFormat/>
    <w:rsid w:val="009867A9"/>
    <w:pPr>
      <w:autoSpaceDE w:val="0"/>
      <w:autoSpaceDN w:val="0"/>
      <w:adjustRightInd w:val="0"/>
      <w:spacing w:after="0" w:line="240" w:lineRule="auto"/>
    </w:pPr>
    <w:rPr>
      <w:rFonts w:ascii="Adobe Garamond Pro" w:hAnsi="Adobe Garamond Pro" w:cs="FuturaICG-Light"/>
      <w:b/>
      <w:sz w:val="24"/>
      <w:szCs w:val="24"/>
    </w:rPr>
  </w:style>
  <w:style w:type="character" w:customStyle="1" w:styleId="ConsumerContentHeaderChar">
    <w:name w:val="Consumer Content Header Char"/>
    <w:basedOn w:val="DefaultParagraphFont"/>
    <w:link w:val="ConsumerContentHeader"/>
    <w:rsid w:val="009867A9"/>
    <w:rPr>
      <w:rFonts w:ascii="FuturaICG-Book" w:hAnsi="FuturaICG-Book" w:cs="FuturaICG-Book"/>
      <w:sz w:val="44"/>
      <w:szCs w:val="44"/>
    </w:rPr>
  </w:style>
  <w:style w:type="paragraph" w:customStyle="1" w:styleId="ConsumerContentBodytext">
    <w:name w:val="Consumer Content Bodytext"/>
    <w:basedOn w:val="Normal"/>
    <w:link w:val="ConsumerContentBodytextChar"/>
    <w:qFormat/>
    <w:rsid w:val="009867A9"/>
    <w:pPr>
      <w:autoSpaceDE w:val="0"/>
      <w:autoSpaceDN w:val="0"/>
      <w:adjustRightInd w:val="0"/>
      <w:spacing w:after="0" w:line="240" w:lineRule="auto"/>
    </w:pPr>
    <w:rPr>
      <w:rFonts w:ascii="Adobe Garamond Pro" w:hAnsi="Adobe Garamond Pro" w:cs="AGaramondPro-Regular"/>
      <w:sz w:val="24"/>
      <w:szCs w:val="24"/>
    </w:rPr>
  </w:style>
  <w:style w:type="character" w:customStyle="1" w:styleId="ConsumerContentBoldtextChar">
    <w:name w:val="Consumer Content Bold text Char"/>
    <w:basedOn w:val="DefaultParagraphFont"/>
    <w:link w:val="ConsumerContentBoldtext"/>
    <w:rsid w:val="009867A9"/>
    <w:rPr>
      <w:rFonts w:ascii="Adobe Garamond Pro" w:hAnsi="Adobe Garamond Pro" w:cs="FuturaICG-Light"/>
      <w:b/>
      <w:sz w:val="24"/>
      <w:szCs w:val="24"/>
    </w:rPr>
  </w:style>
  <w:style w:type="paragraph" w:customStyle="1" w:styleId="BasicParagraph">
    <w:name w:val="[Basic Paragraph]"/>
    <w:basedOn w:val="Normal"/>
    <w:uiPriority w:val="99"/>
    <w:rsid w:val="009867A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ConsumerContentBodytextChar">
    <w:name w:val="Consumer Content Bodytext Char"/>
    <w:basedOn w:val="DefaultParagraphFont"/>
    <w:link w:val="ConsumerContentBodytext"/>
    <w:rsid w:val="009867A9"/>
    <w:rPr>
      <w:rFonts w:ascii="Adobe Garamond Pro" w:hAnsi="Adobe Garamond Pro" w:cs="AGaramondPro-Regula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bright\AppData\Local\Microsoft\Windows\Temporary%20Internet%20Files\Content.Outlook\G2EYRL8D\ConsumerContent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BCE61-778A-46CC-B267-856493D2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ConsumerContent_17</Template>
  <TotalTime>17</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PIA - Professional Insurance Agents</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Albright</dc:creator>
  <cp:lastModifiedBy>Bedor, Suzanne</cp:lastModifiedBy>
  <cp:revision>3</cp:revision>
  <cp:lastPrinted>2017-12-29T20:53:00Z</cp:lastPrinted>
  <dcterms:created xsi:type="dcterms:W3CDTF">2024-05-30T21:20:00Z</dcterms:created>
  <dcterms:modified xsi:type="dcterms:W3CDTF">2024-05-30T21:44:00Z</dcterms:modified>
</cp:coreProperties>
</file>